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C0" w:rsidRDefault="00BE01A4">
      <w:pPr>
        <w:spacing w:after="32"/>
      </w:pPr>
      <w:bookmarkStart w:id="0" w:name="_GoBack"/>
      <w:bookmarkEnd w:id="0"/>
      <w:r>
        <w:rPr>
          <w:rFonts w:ascii="Arial" w:eastAsia="Arial" w:hAnsi="Arial" w:cs="Arial"/>
          <w:b/>
          <w:color w:val="003300"/>
          <w:sz w:val="24"/>
          <w:u w:val="single" w:color="003300"/>
        </w:rPr>
        <w:t>Research Notes</w:t>
      </w:r>
      <w:r>
        <w:rPr>
          <w:rFonts w:ascii="Arial" w:eastAsia="Arial" w:hAnsi="Arial" w:cs="Arial"/>
          <w:b/>
          <w:color w:val="003300"/>
          <w:sz w:val="24"/>
        </w:rPr>
        <w:t xml:space="preserve"> </w:t>
      </w:r>
    </w:p>
    <w:p w:rsidR="00FB1AC0" w:rsidRDefault="00BE01A4">
      <w:pPr>
        <w:spacing w:after="32"/>
      </w:pPr>
      <w:r>
        <w:rPr>
          <w:rFonts w:ascii="Arial" w:eastAsia="Arial" w:hAnsi="Arial" w:cs="Arial"/>
          <w:color w:val="003300"/>
          <w:sz w:val="24"/>
        </w:rPr>
        <w:t xml:space="preserve">  </w:t>
      </w:r>
    </w:p>
    <w:p w:rsidR="00FB1AC0" w:rsidRDefault="00BE01A4">
      <w:pPr>
        <w:spacing w:after="32"/>
        <w:ind w:left="-5" w:hanging="10"/>
      </w:pPr>
      <w:r>
        <w:rPr>
          <w:rFonts w:ascii="Arial" w:eastAsia="Arial" w:hAnsi="Arial" w:cs="Arial"/>
          <w:color w:val="003300"/>
          <w:sz w:val="24"/>
        </w:rPr>
        <w:t xml:space="preserve">Use the chart below to compile research notes on your topic.  </w:t>
      </w:r>
    </w:p>
    <w:p w:rsidR="00FB1AC0" w:rsidRDefault="00BE01A4">
      <w:pPr>
        <w:spacing w:after="79"/>
      </w:pPr>
      <w:r>
        <w:rPr>
          <w:rFonts w:ascii="Arial" w:eastAsia="Arial" w:hAnsi="Arial" w:cs="Arial"/>
          <w:color w:val="003300"/>
          <w:sz w:val="24"/>
        </w:rPr>
        <w:t xml:space="preserve">  </w:t>
      </w:r>
    </w:p>
    <w:p w:rsidR="00FB1AC0" w:rsidRDefault="00BE01A4">
      <w:pPr>
        <w:tabs>
          <w:tab w:val="center" w:pos="3157"/>
          <w:tab w:val="center" w:pos="6488"/>
          <w:tab w:val="right" w:pos="8678"/>
        </w:tabs>
        <w:spacing w:after="158"/>
        <w:ind w:left="-15"/>
      </w:pPr>
      <w:r>
        <w:rPr>
          <w:rFonts w:ascii="Arial" w:eastAsia="Arial" w:hAnsi="Arial" w:cs="Arial"/>
          <w:b/>
          <w:color w:val="003300"/>
          <w:sz w:val="24"/>
        </w:rPr>
        <w:t xml:space="preserve">A minimum of </w:t>
      </w:r>
      <w:r>
        <w:rPr>
          <w:rFonts w:ascii="Arial" w:eastAsia="Arial" w:hAnsi="Arial" w:cs="Arial"/>
          <w:b/>
          <w:color w:val="003300"/>
          <w:sz w:val="24"/>
          <w:u w:val="single" w:color="003300"/>
        </w:rPr>
        <w:t>3-5</w:t>
      </w:r>
      <w:r>
        <w:rPr>
          <w:sz w:val="24"/>
          <w:u w:val="single" w:color="003300"/>
        </w:rPr>
        <w:t>​</w:t>
      </w:r>
      <w:r>
        <w:rPr>
          <w:sz w:val="24"/>
          <w:u w:val="single" w:color="003300"/>
        </w:rPr>
        <w:tab/>
      </w:r>
      <w:r>
        <w:rPr>
          <w:rFonts w:ascii="Arial" w:eastAsia="Arial" w:hAnsi="Arial" w:cs="Arial"/>
          <w:b/>
          <w:color w:val="003300"/>
          <w:sz w:val="24"/>
          <w:u w:val="single" w:color="003300"/>
        </w:rPr>
        <w:t xml:space="preserve"> sources</w:t>
      </w:r>
      <w:r>
        <w:rPr>
          <w:rFonts w:ascii="Arial" w:eastAsia="Arial" w:hAnsi="Arial" w:cs="Arial"/>
          <w:b/>
          <w:color w:val="003300"/>
          <w:sz w:val="24"/>
        </w:rPr>
        <w:t xml:space="preserve"> is required</w:t>
      </w:r>
      <w:r>
        <w:rPr>
          <w:sz w:val="24"/>
        </w:rPr>
        <w:t>​</w:t>
      </w:r>
      <w:r>
        <w:rPr>
          <w:sz w:val="24"/>
        </w:rPr>
        <w:tab/>
      </w:r>
      <w:r>
        <w:rPr>
          <w:rFonts w:ascii="Arial" w:eastAsia="Arial" w:hAnsi="Arial" w:cs="Arial"/>
          <w:color w:val="003300"/>
          <w:sz w:val="24"/>
        </w:rPr>
        <w:t xml:space="preserve">.  Please see the example on page </w:t>
      </w:r>
      <w:proofErr w:type="gramStart"/>
      <w:r>
        <w:rPr>
          <w:rFonts w:ascii="Arial" w:eastAsia="Arial" w:hAnsi="Arial" w:cs="Arial"/>
          <w:color w:val="003300"/>
          <w:sz w:val="24"/>
        </w:rPr>
        <w:t>three.</w:t>
      </w:r>
      <w:r>
        <w:rPr>
          <w:sz w:val="24"/>
        </w:rPr>
        <w:t>​</w:t>
      </w:r>
      <w:proofErr w:type="gramEnd"/>
      <w:r>
        <w:rPr>
          <w:sz w:val="24"/>
        </w:rPr>
        <w:tab/>
      </w:r>
      <w:r>
        <w:rPr>
          <w:rFonts w:ascii="Arial" w:eastAsia="Arial" w:hAnsi="Arial" w:cs="Arial"/>
          <w:color w:val="003300"/>
          <w:sz w:val="24"/>
        </w:rPr>
        <w:t xml:space="preserve"> </w:t>
      </w:r>
    </w:p>
    <w:p w:rsidR="00FB1AC0" w:rsidRDefault="00BE01A4">
      <w:pPr>
        <w:spacing w:after="0"/>
      </w:pPr>
      <w:r>
        <w:rPr>
          <w:rFonts w:ascii="Arial" w:eastAsia="Arial" w:hAnsi="Arial" w:cs="Arial"/>
          <w:color w:val="003300"/>
          <w:sz w:val="24"/>
        </w:rPr>
        <w:t xml:space="preserve">  </w:t>
      </w:r>
    </w:p>
    <w:tbl>
      <w:tblPr>
        <w:tblStyle w:val="TableGrid"/>
        <w:tblW w:w="9038" w:type="dxa"/>
        <w:tblInd w:w="8" w:type="dxa"/>
        <w:tblCellMar>
          <w:top w:w="162" w:type="dxa"/>
          <w:left w:w="98" w:type="dxa"/>
          <w:right w:w="115" w:type="dxa"/>
        </w:tblCellMar>
        <w:tblLook w:val="04A0" w:firstRow="1" w:lastRow="0" w:firstColumn="1" w:lastColumn="0" w:noHBand="0" w:noVBand="1"/>
      </w:tblPr>
      <w:tblGrid>
        <w:gridCol w:w="1936"/>
        <w:gridCol w:w="1503"/>
        <w:gridCol w:w="5599"/>
      </w:tblGrid>
      <w:tr w:rsidR="00FB1AC0">
        <w:trPr>
          <w:trHeight w:val="1306"/>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t xml:space="preserve">  </w:t>
            </w:r>
          </w:p>
        </w:tc>
        <w:tc>
          <w:tcPr>
            <w:tcW w:w="1306" w:type="dxa"/>
            <w:tcBorders>
              <w:top w:val="single" w:sz="6" w:space="0" w:color="000000"/>
              <w:left w:val="single" w:sz="6" w:space="0" w:color="000000"/>
              <w:bottom w:val="single" w:sz="6" w:space="0" w:color="000000"/>
              <w:right w:val="single" w:sz="6" w:space="0" w:color="000000"/>
            </w:tcBorders>
            <w:vAlign w:val="center"/>
          </w:tcPr>
          <w:p w:rsidR="00FB1AC0" w:rsidRDefault="00BE01A4">
            <w:r>
              <w:rPr>
                <w:rFonts w:ascii="Arial" w:eastAsia="Arial" w:hAnsi="Arial" w:cs="Arial"/>
                <w:b/>
                <w:color w:val="003300"/>
                <w:sz w:val="20"/>
              </w:rPr>
              <w:t xml:space="preserve">Full Web Address </w:t>
            </w:r>
            <w:r>
              <w:rPr>
                <w:rFonts w:ascii="Arial" w:eastAsia="Arial" w:hAnsi="Arial" w:cs="Arial"/>
                <w:b/>
                <w:color w:val="003300"/>
                <w:sz w:val="20"/>
                <w:u w:val="single" w:color="003300"/>
              </w:rPr>
              <w:t>and</w:t>
            </w:r>
            <w:r>
              <w:rPr>
                <w:rFonts w:ascii="Arial" w:eastAsia="Arial" w:hAnsi="Arial" w:cs="Arial"/>
                <w:b/>
                <w:color w:val="003300"/>
                <w:sz w:val="20"/>
              </w:rPr>
              <w:t xml:space="preserve"> Date</w:t>
            </w:r>
            <w:r>
              <w:rPr>
                <w:sz w:val="20"/>
                <w:u w:val="single" w:color="003300"/>
              </w:rPr>
              <w:t>​</w:t>
            </w:r>
            <w:r>
              <w:rPr>
                <w:sz w:val="20"/>
                <w:u w:val="single" w:color="003300"/>
              </w:rPr>
              <w:tab/>
            </w:r>
            <w:r>
              <w:rPr>
                <w:rFonts w:ascii="Arial" w:eastAsia="Arial" w:hAnsi="Arial" w:cs="Arial"/>
                <w:b/>
                <w:color w:val="003300"/>
                <w:sz w:val="20"/>
              </w:rPr>
              <w:t xml:space="preserve"> Accessed </w:t>
            </w:r>
          </w:p>
        </w:tc>
        <w:tc>
          <w:tcPr>
            <w:tcW w:w="6636" w:type="dxa"/>
            <w:tcBorders>
              <w:top w:val="single" w:sz="6" w:space="0" w:color="000000"/>
              <w:left w:val="single" w:sz="6" w:space="0" w:color="000000"/>
              <w:bottom w:val="single" w:sz="6" w:space="0" w:color="000000"/>
              <w:right w:val="single" w:sz="6" w:space="0" w:color="000000"/>
            </w:tcBorders>
          </w:tcPr>
          <w:p w:rsidR="00FB1AC0" w:rsidRDefault="00BE01A4">
            <w:pPr>
              <w:ind w:right="12"/>
              <w:jc w:val="center"/>
            </w:pPr>
            <w:r>
              <w:rPr>
                <w:rFonts w:ascii="Arial" w:eastAsia="Arial" w:hAnsi="Arial" w:cs="Arial"/>
                <w:b/>
                <w:color w:val="003300"/>
                <w:sz w:val="20"/>
              </w:rPr>
              <w:t xml:space="preserve">Research Notes IN YOUR OWN WORDS </w:t>
            </w:r>
          </w:p>
        </w:tc>
      </w:tr>
      <w:tr w:rsidR="00FB1AC0">
        <w:trPr>
          <w:trHeight w:val="3138"/>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t>1 Biography</w:t>
            </w:r>
          </w:p>
        </w:tc>
        <w:tc>
          <w:tcPr>
            <w:tcW w:w="130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color w:val="003300"/>
                <w:sz w:val="20"/>
              </w:rPr>
              <w:t xml:space="preserve">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A., &amp; Sufi, A. (2018). Summary of\\" the consequences of mortgage credit expansion\\". In Federal Reserve Bank of Chicago Proceedings (No. 1074).</w:t>
            </w:r>
          </w:p>
        </w:tc>
        <w:tc>
          <w:tcPr>
            <w:tcW w:w="6636" w:type="dxa"/>
            <w:tcBorders>
              <w:top w:val="single" w:sz="6" w:space="0" w:color="000000"/>
              <w:left w:val="single" w:sz="6" w:space="0" w:color="000000"/>
              <w:bottom w:val="single" w:sz="6" w:space="0" w:color="000000"/>
              <w:right w:val="single" w:sz="6" w:space="0" w:color="000000"/>
            </w:tcBorders>
          </w:tcPr>
          <w:p w:rsidR="00FB1AC0" w:rsidRDefault="00BE01A4">
            <w:pPr>
              <w:spacing w:after="22"/>
            </w:pPr>
            <w:r>
              <w:rPr>
                <w:rFonts w:ascii="Arial" w:eastAsia="Arial" w:hAnsi="Arial" w:cs="Arial"/>
                <w:color w:val="003300"/>
                <w:sz w:val="20"/>
              </w:rPr>
              <w:t xml:space="preserve">  </w:t>
            </w:r>
          </w:p>
          <w:p w:rsidR="00BE01A4" w:rsidRPr="00BE01A4" w:rsidRDefault="00BE01A4" w:rsidP="00BE01A4">
            <w:pPr>
              <w:spacing w:after="22"/>
              <w:jc w:val="both"/>
              <w:rPr>
                <w:rFonts w:ascii="Arial" w:eastAsia="Arial" w:hAnsi="Arial" w:cs="Arial"/>
                <w:color w:val="003300"/>
                <w:sz w:val="20"/>
              </w:rPr>
            </w:pPr>
            <w:r>
              <w:rPr>
                <w:rFonts w:ascii="Arial" w:eastAsia="Arial" w:hAnsi="Arial" w:cs="Arial"/>
                <w:color w:val="003300"/>
                <w:sz w:val="20"/>
              </w:rPr>
              <w:t xml:space="preserve"> </w:t>
            </w:r>
            <w:proofErr w:type="spellStart"/>
            <w:r w:rsidRPr="00BE01A4">
              <w:rPr>
                <w:rFonts w:ascii="Arial" w:eastAsia="Arial" w:hAnsi="Arial" w:cs="Arial"/>
                <w:color w:val="003300"/>
                <w:sz w:val="20"/>
              </w:rPr>
              <w:t>Atif</w:t>
            </w:r>
            <w:proofErr w:type="spellEnd"/>
            <w:r w:rsidRPr="00BE01A4">
              <w:rPr>
                <w:rFonts w:ascii="Arial" w:eastAsia="Arial" w:hAnsi="Arial" w:cs="Arial"/>
                <w:color w:val="003300"/>
                <w:sz w:val="20"/>
              </w:rPr>
              <w:t xml:space="preserve">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xml:space="preserve"> was born in the city of Lahore, the capital of Pakistani’s district of Punjab. He was born into a solidly upper-middle-class family in Pakistan as the only son of government physicians,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w:t>
            </w:r>
          </w:p>
          <w:p w:rsidR="00BE01A4" w:rsidRPr="00BE01A4" w:rsidRDefault="00BE01A4" w:rsidP="00BE01A4">
            <w:pPr>
              <w:spacing w:after="22"/>
              <w:jc w:val="both"/>
              <w:rPr>
                <w:rFonts w:ascii="Arial" w:eastAsia="Arial" w:hAnsi="Arial" w:cs="Arial"/>
                <w:color w:val="003300"/>
                <w:sz w:val="20"/>
              </w:rPr>
            </w:pPr>
            <w:r w:rsidRPr="00BE01A4">
              <w:rPr>
                <w:rFonts w:ascii="Arial" w:eastAsia="Arial" w:hAnsi="Arial" w:cs="Arial"/>
                <w:color w:val="003300"/>
                <w:sz w:val="20"/>
              </w:rPr>
              <w:t>He is a Pakistani-American economist who grew up and received most of his education in Pakistan before moving to the US for higher education in 1993.</w:t>
            </w:r>
          </w:p>
          <w:p w:rsidR="00BE01A4" w:rsidRPr="00BE01A4" w:rsidRDefault="00BE01A4" w:rsidP="00BE01A4">
            <w:pPr>
              <w:spacing w:after="22"/>
              <w:jc w:val="both"/>
              <w:rPr>
                <w:rFonts w:ascii="Arial" w:eastAsia="Arial" w:hAnsi="Arial" w:cs="Arial"/>
                <w:color w:val="003300"/>
                <w:sz w:val="20"/>
              </w:rPr>
            </w:pPr>
            <w:r w:rsidRPr="00BE01A4">
              <w:rPr>
                <w:rFonts w:ascii="Arial" w:eastAsia="Arial" w:hAnsi="Arial" w:cs="Arial"/>
                <w:color w:val="003300"/>
                <w:sz w:val="20"/>
              </w:rPr>
              <w:t xml:space="preserve">He enrolled to Massachusetts Institute of Technology. In 1996 he received his bachelor’s degree in mathematics with computer science. Later, he received his doctorate degree in economics from the same institute. </w:t>
            </w:r>
          </w:p>
          <w:p w:rsidR="00BE01A4" w:rsidRPr="00BE01A4" w:rsidRDefault="00BE01A4" w:rsidP="00BE01A4">
            <w:pPr>
              <w:spacing w:after="22"/>
              <w:jc w:val="both"/>
              <w:rPr>
                <w:rFonts w:ascii="Arial" w:eastAsia="Arial" w:hAnsi="Arial" w:cs="Arial"/>
                <w:color w:val="003300"/>
                <w:sz w:val="20"/>
              </w:rPr>
            </w:pPr>
            <w:r w:rsidRPr="00BE01A4">
              <w:rPr>
                <w:rFonts w:ascii="Arial" w:eastAsia="Arial" w:hAnsi="Arial" w:cs="Arial"/>
                <w:color w:val="003300"/>
                <w:sz w:val="20"/>
              </w:rPr>
              <w:t xml:space="preserve">At Princeton University, he teaches Macro and Financial Policy and Empirical Macro-finance. </w:t>
            </w:r>
          </w:p>
          <w:p w:rsidR="00FB1AC0" w:rsidRDefault="00BE01A4" w:rsidP="00BE01A4">
            <w:pPr>
              <w:spacing w:after="22"/>
              <w:jc w:val="both"/>
            </w:pPr>
            <w:proofErr w:type="spellStart"/>
            <w:r w:rsidRPr="00BE01A4">
              <w:rPr>
                <w:rFonts w:ascii="Arial" w:eastAsia="Arial" w:hAnsi="Arial" w:cs="Arial"/>
                <w:color w:val="003300"/>
                <w:sz w:val="20"/>
              </w:rPr>
              <w:t>Atif</w:t>
            </w:r>
            <w:proofErr w:type="spellEnd"/>
            <w:r w:rsidRPr="00BE01A4">
              <w:rPr>
                <w:rFonts w:ascii="Arial" w:eastAsia="Arial" w:hAnsi="Arial" w:cs="Arial"/>
                <w:color w:val="003300"/>
                <w:sz w:val="20"/>
              </w:rPr>
              <w:t xml:space="preserve"> was initially chosen as a member of an Economic Advisory Council formed by Pakistani Prime Minister Imran Khan to provide assistance on issues of economics and finance. Since his appointment, the government faced criticism from groups opposed to government representation for religious minorities, because of </w:t>
            </w:r>
            <w:proofErr w:type="spellStart"/>
            <w:r w:rsidRPr="00BE01A4">
              <w:rPr>
                <w:rFonts w:ascii="Arial" w:eastAsia="Arial" w:hAnsi="Arial" w:cs="Arial"/>
                <w:color w:val="003300"/>
                <w:sz w:val="20"/>
              </w:rPr>
              <w:t>Atif's</w:t>
            </w:r>
            <w:proofErr w:type="spellEnd"/>
            <w:r w:rsidRPr="00BE01A4">
              <w:rPr>
                <w:rFonts w:ascii="Arial" w:eastAsia="Arial" w:hAnsi="Arial" w:cs="Arial"/>
                <w:color w:val="003300"/>
                <w:sz w:val="20"/>
              </w:rPr>
              <w:t xml:space="preserve"> </w:t>
            </w:r>
            <w:proofErr w:type="spellStart"/>
            <w:r w:rsidRPr="00BE01A4">
              <w:rPr>
                <w:rFonts w:ascii="Arial" w:eastAsia="Arial" w:hAnsi="Arial" w:cs="Arial"/>
                <w:color w:val="003300"/>
                <w:sz w:val="20"/>
              </w:rPr>
              <w:t>Ahmadiyya</w:t>
            </w:r>
            <w:proofErr w:type="spellEnd"/>
            <w:r w:rsidRPr="00BE01A4">
              <w:rPr>
                <w:rFonts w:ascii="Arial" w:eastAsia="Arial" w:hAnsi="Arial" w:cs="Arial"/>
                <w:color w:val="003300"/>
                <w:sz w:val="20"/>
              </w:rPr>
              <w:t xml:space="preserve"> faith. He was removed from the Economic Advisory Council on 7 September 2018 and afterwards council members </w:t>
            </w:r>
            <w:proofErr w:type="spellStart"/>
            <w:r w:rsidRPr="00BE01A4">
              <w:rPr>
                <w:rFonts w:ascii="Arial" w:eastAsia="Arial" w:hAnsi="Arial" w:cs="Arial"/>
                <w:color w:val="003300"/>
                <w:sz w:val="20"/>
              </w:rPr>
              <w:t>Asim</w:t>
            </w:r>
            <w:proofErr w:type="spellEnd"/>
            <w:r w:rsidRPr="00BE01A4">
              <w:rPr>
                <w:rFonts w:ascii="Arial" w:eastAsia="Arial" w:hAnsi="Arial" w:cs="Arial"/>
                <w:color w:val="003300"/>
                <w:sz w:val="20"/>
              </w:rPr>
              <w:t xml:space="preserve"> </w:t>
            </w:r>
            <w:proofErr w:type="spellStart"/>
            <w:r w:rsidRPr="00BE01A4">
              <w:rPr>
                <w:rFonts w:ascii="Arial" w:eastAsia="Arial" w:hAnsi="Arial" w:cs="Arial"/>
                <w:color w:val="003300"/>
                <w:sz w:val="20"/>
              </w:rPr>
              <w:t>Ijaz</w:t>
            </w:r>
            <w:proofErr w:type="spellEnd"/>
            <w:r w:rsidRPr="00BE01A4">
              <w:rPr>
                <w:rFonts w:ascii="Arial" w:eastAsia="Arial" w:hAnsi="Arial" w:cs="Arial"/>
                <w:color w:val="003300"/>
                <w:sz w:val="20"/>
              </w:rPr>
              <w:t xml:space="preserve"> </w:t>
            </w:r>
            <w:proofErr w:type="spellStart"/>
            <w:r w:rsidRPr="00BE01A4">
              <w:rPr>
                <w:rFonts w:ascii="Arial" w:eastAsia="Arial" w:hAnsi="Arial" w:cs="Arial"/>
                <w:color w:val="003300"/>
                <w:sz w:val="20"/>
              </w:rPr>
              <w:t>Khwaja</w:t>
            </w:r>
            <w:proofErr w:type="spellEnd"/>
            <w:r w:rsidRPr="00BE01A4">
              <w:rPr>
                <w:rFonts w:ascii="Arial" w:eastAsia="Arial" w:hAnsi="Arial" w:cs="Arial"/>
                <w:color w:val="003300"/>
                <w:sz w:val="20"/>
              </w:rPr>
              <w:t xml:space="preserve"> and Imran </w:t>
            </w:r>
            <w:proofErr w:type="spellStart"/>
            <w:r w:rsidRPr="00BE01A4">
              <w:rPr>
                <w:rFonts w:ascii="Arial" w:eastAsia="Arial" w:hAnsi="Arial" w:cs="Arial"/>
                <w:color w:val="003300"/>
                <w:sz w:val="20"/>
              </w:rPr>
              <w:t>Rasul</w:t>
            </w:r>
            <w:proofErr w:type="spellEnd"/>
            <w:r w:rsidRPr="00BE01A4">
              <w:rPr>
                <w:rFonts w:ascii="Arial" w:eastAsia="Arial" w:hAnsi="Arial" w:cs="Arial"/>
                <w:color w:val="003300"/>
                <w:sz w:val="20"/>
              </w:rPr>
              <w:t xml:space="preserve"> resigned in protest.</w:t>
            </w:r>
          </w:p>
          <w:p w:rsidR="00FB1AC0" w:rsidRDefault="00BE01A4" w:rsidP="00BE01A4">
            <w:pPr>
              <w:spacing w:after="22"/>
              <w:jc w:val="both"/>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r>
              <w:rPr>
                <w:rFonts w:ascii="Arial" w:eastAsia="Arial" w:hAnsi="Arial" w:cs="Arial"/>
                <w:color w:val="003300"/>
                <w:sz w:val="20"/>
              </w:rPr>
              <w:t xml:space="preserve">  </w:t>
            </w:r>
          </w:p>
        </w:tc>
      </w:tr>
      <w:tr w:rsidR="00FB1AC0">
        <w:trPr>
          <w:trHeight w:val="3138"/>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lastRenderedPageBreak/>
              <w:t xml:space="preserve">2 </w:t>
            </w:r>
            <w:r w:rsidRPr="00BE01A4">
              <w:rPr>
                <w:rFonts w:ascii="Arial" w:eastAsia="Arial" w:hAnsi="Arial" w:cs="Arial"/>
                <w:b/>
                <w:color w:val="003300"/>
                <w:sz w:val="20"/>
              </w:rPr>
              <w:t>Economic Works, Theories &amp; Accomplishments</w:t>
            </w:r>
          </w:p>
        </w:tc>
        <w:tc>
          <w:tcPr>
            <w:tcW w:w="130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color w:val="003300"/>
                <w:sz w:val="20"/>
              </w:rPr>
              <w:t xml:space="preserve">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xml:space="preserve">, A., </w:t>
            </w:r>
            <w:proofErr w:type="spellStart"/>
            <w:r w:rsidRPr="00BE01A4">
              <w:rPr>
                <w:rFonts w:ascii="Arial" w:eastAsia="Arial" w:hAnsi="Arial" w:cs="Arial"/>
                <w:color w:val="003300"/>
                <w:sz w:val="20"/>
              </w:rPr>
              <w:t>Abid</w:t>
            </w:r>
            <w:proofErr w:type="spellEnd"/>
            <w:r w:rsidRPr="00BE01A4">
              <w:rPr>
                <w:rFonts w:ascii="Arial" w:eastAsia="Arial" w:hAnsi="Arial" w:cs="Arial"/>
                <w:color w:val="003300"/>
                <w:sz w:val="20"/>
              </w:rPr>
              <w:t xml:space="preserve">, Q., &amp; </w:t>
            </w:r>
            <w:proofErr w:type="spellStart"/>
            <w:r w:rsidRPr="00BE01A4">
              <w:rPr>
                <w:rFonts w:ascii="Arial" w:eastAsia="Arial" w:hAnsi="Arial" w:cs="Arial"/>
                <w:color w:val="003300"/>
                <w:sz w:val="20"/>
              </w:rPr>
              <w:t>Khwaja</w:t>
            </w:r>
            <w:proofErr w:type="spellEnd"/>
            <w:r w:rsidRPr="00BE01A4">
              <w:rPr>
                <w:rFonts w:ascii="Arial" w:eastAsia="Arial" w:hAnsi="Arial" w:cs="Arial"/>
                <w:color w:val="003300"/>
                <w:sz w:val="20"/>
              </w:rPr>
              <w:t>, A. I. (2016). Bank credit and business networks (No. 4876870).</w:t>
            </w:r>
          </w:p>
        </w:tc>
        <w:tc>
          <w:tcPr>
            <w:tcW w:w="6636" w:type="dxa"/>
            <w:tcBorders>
              <w:top w:val="single" w:sz="6" w:space="0" w:color="000000"/>
              <w:left w:val="single" w:sz="6" w:space="0" w:color="000000"/>
              <w:bottom w:val="single" w:sz="6" w:space="0" w:color="000000"/>
              <w:right w:val="single" w:sz="6" w:space="0" w:color="000000"/>
            </w:tcBorders>
          </w:tcPr>
          <w:p w:rsidR="00FB1AC0" w:rsidRDefault="00BE01A4" w:rsidP="00BE01A4">
            <w:pPr>
              <w:spacing w:after="22"/>
              <w:jc w:val="both"/>
            </w:pPr>
            <w:r>
              <w:rPr>
                <w:rFonts w:ascii="Arial" w:eastAsia="Arial" w:hAnsi="Arial" w:cs="Arial"/>
                <w:color w:val="003300"/>
                <w:sz w:val="20"/>
              </w:rPr>
              <w:t xml:space="preserve">  </w:t>
            </w:r>
          </w:p>
          <w:p w:rsidR="00BE01A4" w:rsidRPr="00BE01A4" w:rsidRDefault="00BE01A4" w:rsidP="00BE01A4">
            <w:pPr>
              <w:spacing w:after="22"/>
              <w:jc w:val="both"/>
              <w:rPr>
                <w:rFonts w:ascii="Arial" w:eastAsia="Arial" w:hAnsi="Arial" w:cs="Arial"/>
                <w:color w:val="003300"/>
                <w:sz w:val="20"/>
              </w:rPr>
            </w:pPr>
            <w:r>
              <w:rPr>
                <w:rFonts w:ascii="Arial" w:eastAsia="Arial" w:hAnsi="Arial" w:cs="Arial"/>
                <w:color w:val="003300"/>
                <w:sz w:val="20"/>
              </w:rPr>
              <w:t xml:space="preserve">  </w:t>
            </w:r>
            <w:proofErr w:type="spellStart"/>
            <w:r w:rsidRPr="00BE01A4">
              <w:rPr>
                <w:rFonts w:ascii="Arial" w:eastAsia="Arial" w:hAnsi="Arial" w:cs="Arial"/>
                <w:color w:val="003300"/>
                <w:sz w:val="20"/>
              </w:rPr>
              <w:t>Atif</w:t>
            </w:r>
            <w:proofErr w:type="spellEnd"/>
            <w:r w:rsidRPr="00BE01A4">
              <w:rPr>
                <w:rFonts w:ascii="Arial" w:eastAsia="Arial" w:hAnsi="Arial" w:cs="Arial"/>
                <w:color w:val="003300"/>
                <w:sz w:val="20"/>
              </w:rPr>
              <w:t xml:space="preserve"> is the author of the critically acclaimed book, House of Debt. The book argues that debt caused the Great Recession—rather than failing banks, as the Bush and Obama administrations had diagnosed. His book was shortlisted for the Financial Times Business Book of the Year, and it won the Gordon J. Laing Prize of the University of Chicago Press.</w:t>
            </w:r>
          </w:p>
          <w:p w:rsidR="00FB1AC0" w:rsidRDefault="00BE01A4" w:rsidP="00BE01A4">
            <w:pPr>
              <w:spacing w:after="22"/>
              <w:jc w:val="both"/>
              <w:rPr>
                <w:rFonts w:ascii="Arial" w:eastAsia="Arial" w:hAnsi="Arial" w:cs="Arial"/>
                <w:color w:val="003300"/>
                <w:sz w:val="20"/>
              </w:rPr>
            </w:pPr>
            <w:r w:rsidRPr="00BE01A4">
              <w:rPr>
                <w:rFonts w:ascii="Arial" w:eastAsia="Arial" w:hAnsi="Arial" w:cs="Arial"/>
                <w:color w:val="003300"/>
                <w:sz w:val="20"/>
              </w:rPr>
              <w:t xml:space="preserve">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xml:space="preserve"> and Sufi have broadened the scope of their research, focusing on household debt and economic inequality. Their more recent work links the worsening of household debt since 1980 to the rise of the superrich. They connect increased income inequality to the concentration of vast amounts of wealth, which has flooded the economic system with easy credit that fuels consumption, rather than contributing to economic growth through real investment.</w:t>
            </w:r>
          </w:p>
          <w:p w:rsidR="00BE01A4" w:rsidRDefault="00BE01A4" w:rsidP="00BE01A4">
            <w:pPr>
              <w:spacing w:after="22"/>
              <w:jc w:val="both"/>
              <w:rPr>
                <w:rFonts w:ascii="Arial" w:eastAsia="Arial" w:hAnsi="Arial" w:cs="Arial"/>
                <w:color w:val="003300"/>
                <w:sz w:val="20"/>
              </w:rPr>
            </w:pPr>
          </w:p>
          <w:p w:rsidR="00BE01A4" w:rsidRPr="00BE01A4" w:rsidRDefault="00BE01A4" w:rsidP="00BE01A4">
            <w:pPr>
              <w:spacing w:after="22"/>
              <w:jc w:val="both"/>
            </w:pPr>
            <w:r w:rsidRPr="00BE01A4">
              <w:t xml:space="preserve">His work focuses on the connections between finance and the macro economy. He is the first person of Pakistani origin to rank among the top 25 young economists of the world. In 2014, the International Monetary Fund (IMF) identified </w:t>
            </w:r>
            <w:proofErr w:type="spellStart"/>
            <w:r w:rsidRPr="00BE01A4">
              <w:t>Atif</w:t>
            </w:r>
            <w:proofErr w:type="spellEnd"/>
            <w:r w:rsidRPr="00BE01A4">
              <w:t xml:space="preserve"> as one of twenty-five young economists who it expects will shape the world's thinking about the global economy in the future.</w:t>
            </w:r>
          </w:p>
          <w:p w:rsidR="00BE01A4" w:rsidRPr="00BE01A4" w:rsidRDefault="00BE01A4" w:rsidP="00BE01A4">
            <w:pPr>
              <w:spacing w:after="22"/>
              <w:jc w:val="both"/>
            </w:pPr>
            <w:r w:rsidRPr="00BE01A4">
              <w:t>The 44-year-old Pakistani-American has done much to shed fresh light on our modern-day addiction to debt, and in the process, to proffer a new thesis for the greatest economic downturn in more than half a century. He and coauthor Amir Sufi, a University of Chicago finance professor, offer a novel take on the Great Recession in their 2014 book, House of Debt.</w:t>
            </w:r>
          </w:p>
          <w:p w:rsidR="00BE01A4" w:rsidRDefault="00BE01A4" w:rsidP="00BE01A4">
            <w:pPr>
              <w:spacing w:after="22"/>
              <w:jc w:val="both"/>
            </w:pPr>
            <w:r w:rsidRPr="00BE01A4">
              <w:t>The authors parse vast amounts of data to show that a dramatic rise in household debt among borrowers least able to repay helped precipitate the greatest global financial crisis since the Great Depression. In their book, they argue that policymakers erred by focusing excessively on the banking system and in bailing out banks, not borrowers.</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jc w:val="both"/>
            </w:pPr>
            <w:r>
              <w:rPr>
                <w:rFonts w:ascii="Arial" w:eastAsia="Arial" w:hAnsi="Arial" w:cs="Arial"/>
                <w:color w:val="003300"/>
                <w:sz w:val="20"/>
              </w:rPr>
              <w:t xml:space="preserve">  </w:t>
            </w:r>
          </w:p>
        </w:tc>
      </w:tr>
      <w:tr w:rsidR="00FB1AC0">
        <w:trPr>
          <w:trHeight w:val="3738"/>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lastRenderedPageBreak/>
              <w:t xml:space="preserve">3 </w:t>
            </w:r>
            <w:r w:rsidRPr="00BE01A4">
              <w:rPr>
                <w:rFonts w:ascii="Arial" w:eastAsia="Arial" w:hAnsi="Arial" w:cs="Arial"/>
                <w:b/>
                <w:color w:val="003300"/>
                <w:sz w:val="20"/>
              </w:rPr>
              <w:t>Interpretations of Economic Works, Theories, and/or Actions</w:t>
            </w:r>
          </w:p>
        </w:tc>
        <w:tc>
          <w:tcPr>
            <w:tcW w:w="130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color w:val="003300"/>
                <w:sz w:val="20"/>
              </w:rPr>
              <w:t xml:space="preserve">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A., &amp; Sufi, A. (2017). Household leverage and the recession of 2007 to 2009. SBP Research Bulletin, 7, 125-173.</w:t>
            </w:r>
          </w:p>
        </w:tc>
        <w:tc>
          <w:tcPr>
            <w:tcW w:w="6636" w:type="dxa"/>
            <w:tcBorders>
              <w:top w:val="single" w:sz="6" w:space="0" w:color="000000"/>
              <w:left w:val="single" w:sz="6" w:space="0" w:color="000000"/>
              <w:bottom w:val="single" w:sz="6" w:space="0" w:color="000000"/>
              <w:right w:val="single" w:sz="6" w:space="0" w:color="000000"/>
            </w:tcBorders>
            <w:vAlign w:val="center"/>
          </w:tcPr>
          <w:p w:rsidR="00FB1AC0" w:rsidRDefault="00BE01A4" w:rsidP="00BE01A4">
            <w:pPr>
              <w:spacing w:after="22"/>
              <w:jc w:val="both"/>
            </w:pPr>
            <w:r>
              <w:rPr>
                <w:rFonts w:ascii="Arial" w:eastAsia="Arial" w:hAnsi="Arial" w:cs="Arial"/>
                <w:color w:val="003300"/>
                <w:sz w:val="20"/>
              </w:rPr>
              <w:t xml:space="preserve">  </w:t>
            </w:r>
          </w:p>
          <w:p w:rsidR="00BE01A4" w:rsidRPr="00BE01A4" w:rsidRDefault="00BE01A4" w:rsidP="00BE01A4">
            <w:pPr>
              <w:spacing w:after="22"/>
              <w:jc w:val="both"/>
              <w:rPr>
                <w:rFonts w:ascii="Arial" w:eastAsia="Arial" w:hAnsi="Arial" w:cs="Arial"/>
                <w:color w:val="003300"/>
                <w:sz w:val="20"/>
              </w:rPr>
            </w:pPr>
            <w:r>
              <w:rPr>
                <w:rFonts w:ascii="Arial" w:eastAsia="Arial" w:hAnsi="Arial" w:cs="Arial"/>
                <w:color w:val="003300"/>
                <w:sz w:val="20"/>
              </w:rPr>
              <w:t xml:space="preserve">  </w:t>
            </w:r>
            <w:r w:rsidRPr="00BE01A4">
              <w:rPr>
                <w:rFonts w:ascii="Arial" w:eastAsia="Arial" w:hAnsi="Arial" w:cs="Arial"/>
                <w:color w:val="003300"/>
                <w:sz w:val="20"/>
              </w:rPr>
              <w:t xml:space="preserve">The knowledge provided by </w:t>
            </w:r>
            <w:proofErr w:type="spellStart"/>
            <w:r w:rsidRPr="00BE01A4">
              <w:rPr>
                <w:rFonts w:ascii="Arial" w:eastAsia="Arial" w:hAnsi="Arial" w:cs="Arial"/>
                <w:color w:val="003300"/>
                <w:sz w:val="20"/>
              </w:rPr>
              <w:t>Atif</w:t>
            </w:r>
            <w:proofErr w:type="spellEnd"/>
            <w:r w:rsidRPr="00BE01A4">
              <w:rPr>
                <w:rFonts w:ascii="Arial" w:eastAsia="Arial" w:hAnsi="Arial" w:cs="Arial"/>
                <w:color w:val="003300"/>
                <w:sz w:val="20"/>
              </w:rPr>
              <w:t xml:space="preserve"> and Sufi in the book, House of Debt has helped put household debt much more prominently on the radar of the IMF, the Federal Reserve, the Bank of England, and central banks of Australia, China, and Israel. In the half a decade since the book’s publication, </w:t>
            </w:r>
            <w:proofErr w:type="spellStart"/>
            <w:r w:rsidRPr="00BE01A4">
              <w:rPr>
                <w:rFonts w:ascii="Arial" w:eastAsia="Arial" w:hAnsi="Arial" w:cs="Arial"/>
                <w:color w:val="003300"/>
                <w:sz w:val="20"/>
              </w:rPr>
              <w:t>Mian</w:t>
            </w:r>
            <w:proofErr w:type="spellEnd"/>
            <w:r w:rsidRPr="00BE01A4">
              <w:rPr>
                <w:rFonts w:ascii="Arial" w:eastAsia="Arial" w:hAnsi="Arial" w:cs="Arial"/>
                <w:color w:val="003300"/>
                <w:sz w:val="20"/>
              </w:rPr>
              <w:t xml:space="preserve"> and Sufi have broadened the scope of research, focusing on household debt and economic inequality. </w:t>
            </w:r>
          </w:p>
          <w:p w:rsidR="00BE01A4" w:rsidRPr="00BE01A4" w:rsidRDefault="00BE01A4" w:rsidP="00BE01A4">
            <w:pPr>
              <w:spacing w:after="22"/>
              <w:jc w:val="both"/>
              <w:rPr>
                <w:rFonts w:ascii="Arial" w:eastAsia="Arial" w:hAnsi="Arial" w:cs="Arial"/>
                <w:color w:val="003300"/>
                <w:sz w:val="20"/>
              </w:rPr>
            </w:pPr>
          </w:p>
          <w:p w:rsidR="00BE01A4" w:rsidRPr="00BE01A4" w:rsidRDefault="00BE01A4" w:rsidP="00BE01A4">
            <w:pPr>
              <w:spacing w:after="22"/>
              <w:jc w:val="both"/>
              <w:rPr>
                <w:rFonts w:ascii="Arial" w:eastAsia="Arial" w:hAnsi="Arial" w:cs="Arial"/>
                <w:color w:val="003300"/>
                <w:sz w:val="20"/>
              </w:rPr>
            </w:pPr>
            <w:r w:rsidRPr="00BE01A4">
              <w:rPr>
                <w:rFonts w:ascii="Arial" w:eastAsia="Arial" w:hAnsi="Arial" w:cs="Arial"/>
                <w:color w:val="003300"/>
                <w:sz w:val="20"/>
              </w:rPr>
              <w:t xml:space="preserve">Former US Treasury Secretary Larry Summers suggested that the work “could be the most important book to come out of the 2008 Financial Crisis and subsequent Great Recession.” In a review, Summers expresses some sympathy for the authors’ assertion that there should have been greater consideration given to households during the Great Recession. </w:t>
            </w:r>
          </w:p>
          <w:p w:rsidR="00FB1AC0" w:rsidRDefault="00BE01A4" w:rsidP="00BE01A4">
            <w:pPr>
              <w:spacing w:after="22"/>
              <w:jc w:val="both"/>
            </w:pPr>
            <w:r w:rsidRPr="00BE01A4">
              <w:rPr>
                <w:rFonts w:ascii="Arial" w:eastAsia="Arial" w:hAnsi="Arial" w:cs="Arial"/>
                <w:color w:val="003300"/>
                <w:sz w:val="20"/>
              </w:rPr>
              <w:t>Summers agrees that all future work on financial crises will have to consider household balance sheets. Its arguments deserve careful attention, and its publication provides an opportunity to reconsider policy choices made in 2009 and 2010 regarding mortgages.</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spacing w:after="22"/>
              <w:jc w:val="both"/>
            </w:pPr>
            <w:r>
              <w:rPr>
                <w:rFonts w:ascii="Arial" w:eastAsia="Arial" w:hAnsi="Arial" w:cs="Arial"/>
                <w:color w:val="003300"/>
                <w:sz w:val="20"/>
              </w:rPr>
              <w:t xml:space="preserve">  </w:t>
            </w:r>
          </w:p>
          <w:p w:rsidR="00FB1AC0" w:rsidRDefault="00BE01A4" w:rsidP="00BE01A4">
            <w:pPr>
              <w:jc w:val="both"/>
            </w:pPr>
            <w:r>
              <w:rPr>
                <w:rFonts w:ascii="Arial" w:eastAsia="Arial" w:hAnsi="Arial" w:cs="Arial"/>
                <w:color w:val="003300"/>
                <w:sz w:val="20"/>
              </w:rPr>
              <w:t xml:space="preserve">  </w:t>
            </w:r>
          </w:p>
        </w:tc>
      </w:tr>
      <w:tr w:rsidR="00FB1AC0">
        <w:trPr>
          <w:trHeight w:val="3678"/>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t xml:space="preserve">4 </w:t>
            </w:r>
          </w:p>
        </w:tc>
        <w:tc>
          <w:tcPr>
            <w:tcW w:w="130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color w:val="003300"/>
                <w:sz w:val="20"/>
              </w:rPr>
              <w:t xml:space="preserve">  </w:t>
            </w:r>
          </w:p>
        </w:tc>
        <w:tc>
          <w:tcPr>
            <w:tcW w:w="6636" w:type="dxa"/>
            <w:tcBorders>
              <w:top w:val="single" w:sz="6" w:space="0" w:color="000000"/>
              <w:left w:val="single" w:sz="6" w:space="0" w:color="000000"/>
              <w:bottom w:val="single" w:sz="6" w:space="0" w:color="000000"/>
              <w:right w:val="single" w:sz="6" w:space="0" w:color="000000"/>
            </w:tcBorders>
          </w:tcPr>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r>
              <w:rPr>
                <w:rFonts w:ascii="Arial" w:eastAsia="Arial" w:hAnsi="Arial" w:cs="Arial"/>
                <w:color w:val="003300"/>
                <w:sz w:val="20"/>
              </w:rPr>
              <w:t xml:space="preserve">  </w:t>
            </w:r>
          </w:p>
        </w:tc>
      </w:tr>
      <w:tr w:rsidR="00FB1AC0">
        <w:trPr>
          <w:trHeight w:val="3948"/>
        </w:trPr>
        <w:tc>
          <w:tcPr>
            <w:tcW w:w="109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lastRenderedPageBreak/>
              <w:t xml:space="preserve">5 </w:t>
            </w:r>
          </w:p>
        </w:tc>
        <w:tc>
          <w:tcPr>
            <w:tcW w:w="1306"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color w:val="003300"/>
                <w:sz w:val="20"/>
              </w:rPr>
              <w:t xml:space="preserve">  </w:t>
            </w:r>
          </w:p>
        </w:tc>
        <w:tc>
          <w:tcPr>
            <w:tcW w:w="6636" w:type="dxa"/>
            <w:tcBorders>
              <w:top w:val="single" w:sz="6" w:space="0" w:color="000000"/>
              <w:left w:val="single" w:sz="6" w:space="0" w:color="000000"/>
              <w:bottom w:val="single" w:sz="6" w:space="0" w:color="000000"/>
              <w:right w:val="single" w:sz="6" w:space="0" w:color="000000"/>
            </w:tcBorders>
          </w:tcPr>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pPr>
              <w:spacing w:after="22"/>
            </w:pPr>
            <w:r>
              <w:rPr>
                <w:rFonts w:ascii="Arial" w:eastAsia="Arial" w:hAnsi="Arial" w:cs="Arial"/>
                <w:color w:val="003300"/>
                <w:sz w:val="20"/>
              </w:rPr>
              <w:t xml:space="preserve">  </w:t>
            </w:r>
          </w:p>
          <w:p w:rsidR="00FB1AC0" w:rsidRDefault="00BE01A4">
            <w:r>
              <w:rPr>
                <w:rFonts w:ascii="Arial" w:eastAsia="Arial" w:hAnsi="Arial" w:cs="Arial"/>
                <w:color w:val="003300"/>
                <w:sz w:val="20"/>
              </w:rPr>
              <w:t xml:space="preserve">  </w:t>
            </w:r>
          </w:p>
        </w:tc>
      </w:tr>
    </w:tbl>
    <w:p w:rsidR="00FB1AC0" w:rsidRDefault="00BE01A4">
      <w:pPr>
        <w:spacing w:after="22"/>
        <w:jc w:val="both"/>
      </w:pPr>
      <w:r>
        <w:rPr>
          <w:rFonts w:ascii="Arial" w:eastAsia="Arial" w:hAnsi="Arial" w:cs="Arial"/>
          <w:color w:val="003300"/>
          <w:sz w:val="20"/>
        </w:rPr>
        <w:t xml:space="preserve">  </w:t>
      </w:r>
    </w:p>
    <w:p w:rsidR="00FB1AC0" w:rsidRDefault="00BE01A4">
      <w:pPr>
        <w:spacing w:after="0" w:line="282" w:lineRule="auto"/>
        <w:ind w:right="8567"/>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22"/>
        <w:jc w:val="both"/>
      </w:pPr>
      <w:r>
        <w:rPr>
          <w:rFonts w:ascii="Arial" w:eastAsia="Arial" w:hAnsi="Arial" w:cs="Arial"/>
          <w:color w:val="003300"/>
          <w:sz w:val="20"/>
        </w:rPr>
        <w:t xml:space="preserve"> </w:t>
      </w:r>
    </w:p>
    <w:p w:rsidR="00FB1AC0" w:rsidRDefault="00BE01A4">
      <w:pPr>
        <w:spacing w:after="0"/>
        <w:jc w:val="both"/>
      </w:pPr>
      <w:r>
        <w:rPr>
          <w:rFonts w:ascii="Arial" w:eastAsia="Arial" w:hAnsi="Arial" w:cs="Arial"/>
          <w:color w:val="003300"/>
          <w:sz w:val="20"/>
        </w:rPr>
        <w:t xml:space="preserve"> </w:t>
      </w:r>
    </w:p>
    <w:tbl>
      <w:tblPr>
        <w:tblStyle w:val="TableGrid"/>
        <w:tblW w:w="8872" w:type="dxa"/>
        <w:tblInd w:w="8" w:type="dxa"/>
        <w:tblCellMar>
          <w:top w:w="162" w:type="dxa"/>
          <w:left w:w="98" w:type="dxa"/>
          <w:right w:w="88" w:type="dxa"/>
        </w:tblCellMar>
        <w:tblLook w:val="04A0" w:firstRow="1" w:lastRow="0" w:firstColumn="1" w:lastColumn="0" w:noHBand="0" w:noVBand="1"/>
      </w:tblPr>
      <w:tblGrid>
        <w:gridCol w:w="1141"/>
        <w:gridCol w:w="2552"/>
        <w:gridCol w:w="5179"/>
      </w:tblGrid>
      <w:tr w:rsidR="00FB1AC0">
        <w:trPr>
          <w:trHeight w:val="871"/>
        </w:trPr>
        <w:tc>
          <w:tcPr>
            <w:tcW w:w="1141"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rsidR="00FB1AC0" w:rsidRDefault="00BE01A4">
            <w:pPr>
              <w:spacing w:after="22"/>
            </w:pPr>
            <w:r>
              <w:rPr>
                <w:rFonts w:ascii="Arial" w:eastAsia="Arial" w:hAnsi="Arial" w:cs="Arial"/>
                <w:b/>
                <w:color w:val="003300"/>
                <w:sz w:val="20"/>
              </w:rPr>
              <w:t xml:space="preserve">Full Web Address and </w:t>
            </w:r>
          </w:p>
          <w:p w:rsidR="00FB1AC0" w:rsidRDefault="00BE01A4">
            <w:r>
              <w:rPr>
                <w:rFonts w:ascii="Arial" w:eastAsia="Arial" w:hAnsi="Arial" w:cs="Arial"/>
                <w:b/>
                <w:color w:val="003300"/>
                <w:sz w:val="20"/>
              </w:rPr>
              <w:t xml:space="preserve">Date Accessed </w:t>
            </w:r>
          </w:p>
        </w:tc>
        <w:tc>
          <w:tcPr>
            <w:tcW w:w="5179" w:type="dxa"/>
            <w:tcBorders>
              <w:top w:val="single" w:sz="6" w:space="0" w:color="000000"/>
              <w:left w:val="single" w:sz="6" w:space="0" w:color="000000"/>
              <w:bottom w:val="single" w:sz="6" w:space="0" w:color="000000"/>
              <w:right w:val="single" w:sz="6" w:space="0" w:color="000000"/>
            </w:tcBorders>
          </w:tcPr>
          <w:p w:rsidR="00FB1AC0" w:rsidRDefault="00BE01A4">
            <w:pPr>
              <w:ind w:right="53"/>
              <w:jc w:val="center"/>
            </w:pPr>
            <w:r>
              <w:rPr>
                <w:rFonts w:ascii="Arial" w:eastAsia="Arial" w:hAnsi="Arial" w:cs="Arial"/>
                <w:b/>
                <w:color w:val="003300"/>
                <w:sz w:val="20"/>
              </w:rPr>
              <w:t xml:space="preserve">Research Notes IN YOUR OWN WORDS </w:t>
            </w:r>
          </w:p>
        </w:tc>
      </w:tr>
      <w:tr w:rsidR="00FB1AC0">
        <w:trPr>
          <w:trHeight w:val="7341"/>
        </w:trPr>
        <w:tc>
          <w:tcPr>
            <w:tcW w:w="1141" w:type="dxa"/>
            <w:tcBorders>
              <w:top w:val="single" w:sz="6" w:space="0" w:color="000000"/>
              <w:left w:val="single" w:sz="6" w:space="0" w:color="000000"/>
              <w:bottom w:val="single" w:sz="6" w:space="0" w:color="000000"/>
              <w:right w:val="single" w:sz="6" w:space="0" w:color="000000"/>
            </w:tcBorders>
          </w:tcPr>
          <w:p w:rsidR="00FB1AC0" w:rsidRDefault="00BE01A4">
            <w:r>
              <w:rPr>
                <w:rFonts w:ascii="Arial" w:eastAsia="Arial" w:hAnsi="Arial" w:cs="Arial"/>
                <w:b/>
                <w:color w:val="003300"/>
                <w:sz w:val="20"/>
              </w:rPr>
              <w:lastRenderedPageBreak/>
              <w:t xml:space="preserve">Example </w:t>
            </w:r>
          </w:p>
        </w:tc>
        <w:tc>
          <w:tcPr>
            <w:tcW w:w="2552" w:type="dxa"/>
            <w:tcBorders>
              <w:top w:val="single" w:sz="6" w:space="0" w:color="000000"/>
              <w:left w:val="single" w:sz="6" w:space="0" w:color="000000"/>
              <w:bottom w:val="single" w:sz="6" w:space="0" w:color="000000"/>
              <w:right w:val="single" w:sz="6" w:space="0" w:color="000000"/>
            </w:tcBorders>
          </w:tcPr>
          <w:p w:rsidR="00FB1AC0" w:rsidRDefault="0072104F">
            <w:pPr>
              <w:spacing w:line="282" w:lineRule="auto"/>
            </w:pPr>
            <w:hyperlink r:id="rId5">
              <w:r w:rsidR="00BE01A4">
                <w:rPr>
                  <w:rFonts w:ascii="Arial" w:eastAsia="Arial" w:hAnsi="Arial" w:cs="Arial"/>
                  <w:color w:val="006600"/>
                  <w:sz w:val="20"/>
                  <w:u w:val="single" w:color="006600"/>
                </w:rPr>
                <w:t xml:space="preserve">http://www.fcac-acfc.gc.ca </w:t>
              </w:r>
            </w:hyperlink>
            <w:hyperlink r:id="rId6">
              <w:r w:rsidR="00BE01A4">
                <w:rPr>
                  <w:rFonts w:ascii="Arial" w:eastAsia="Arial" w:hAnsi="Arial" w:cs="Arial"/>
                  <w:color w:val="006600"/>
                  <w:sz w:val="20"/>
                  <w:u w:val="single" w:color="006600"/>
                </w:rPr>
                <w:t>/</w:t>
              </w:r>
              <w:proofErr w:type="spellStart"/>
              <w:r w:rsidR="00BE01A4">
                <w:rPr>
                  <w:rFonts w:ascii="Arial" w:eastAsia="Arial" w:hAnsi="Arial" w:cs="Arial"/>
                  <w:color w:val="006600"/>
                  <w:sz w:val="20"/>
                  <w:u w:val="single" w:color="006600"/>
                </w:rPr>
                <w:t>eng</w:t>
              </w:r>
              <w:proofErr w:type="spellEnd"/>
              <w:r w:rsidR="00BE01A4">
                <w:rPr>
                  <w:rFonts w:ascii="Arial" w:eastAsia="Arial" w:hAnsi="Arial" w:cs="Arial"/>
                  <w:color w:val="006600"/>
                  <w:sz w:val="20"/>
                  <w:u w:val="single" w:color="006600"/>
                </w:rPr>
                <w:t>/consumers/fraud/</w:t>
              </w:r>
              <w:proofErr w:type="spellStart"/>
              <w:r w:rsidR="00BE01A4">
                <w:rPr>
                  <w:rFonts w:ascii="Arial" w:eastAsia="Arial" w:hAnsi="Arial" w:cs="Arial"/>
                  <w:color w:val="006600"/>
                  <w:sz w:val="20"/>
                  <w:u w:val="single" w:color="006600"/>
                </w:rPr>
                <w:t>cre</w:t>
              </w:r>
              <w:proofErr w:type="spellEnd"/>
              <w:r w:rsidR="00BE01A4">
                <w:rPr>
                  <w:rFonts w:ascii="Arial" w:eastAsia="Arial" w:hAnsi="Arial" w:cs="Arial"/>
                  <w:color w:val="006600"/>
                  <w:sz w:val="20"/>
                  <w:u w:val="single" w:color="006600"/>
                </w:rPr>
                <w:t xml:space="preserve"> </w:t>
              </w:r>
            </w:hyperlink>
            <w:hyperlink r:id="rId7">
              <w:proofErr w:type="spellStart"/>
              <w:r w:rsidR="00BE01A4">
                <w:rPr>
                  <w:rFonts w:ascii="Arial" w:eastAsia="Arial" w:hAnsi="Arial" w:cs="Arial"/>
                  <w:color w:val="006600"/>
                  <w:sz w:val="20"/>
                  <w:u w:val="single" w:color="006600"/>
                </w:rPr>
                <w:t>ditfraud</w:t>
              </w:r>
              <w:proofErr w:type="spellEnd"/>
              <w:r w:rsidR="00BE01A4">
                <w:rPr>
                  <w:rFonts w:ascii="Arial" w:eastAsia="Arial" w:hAnsi="Arial" w:cs="Arial"/>
                  <w:color w:val="006600"/>
                  <w:sz w:val="20"/>
                  <w:u w:val="single" w:color="006600"/>
                </w:rPr>
                <w:t>/</w:t>
              </w:r>
            </w:hyperlink>
            <w:hyperlink r:id="rId8">
              <w:r w:rsidR="00BE01A4">
                <w:rPr>
                  <w:rFonts w:ascii="Arial" w:eastAsia="Arial" w:hAnsi="Arial" w:cs="Arial"/>
                  <w:color w:val="006600"/>
                  <w:sz w:val="20"/>
                </w:rPr>
                <w:t xml:space="preserve"> </w:t>
              </w:r>
            </w:hyperlink>
          </w:p>
          <w:p w:rsidR="00FB1AC0" w:rsidRDefault="00BE01A4">
            <w:pPr>
              <w:spacing w:after="22"/>
            </w:pPr>
            <w:r>
              <w:rPr>
                <w:rFonts w:ascii="Arial" w:eastAsia="Arial" w:hAnsi="Arial" w:cs="Arial"/>
                <w:color w:val="003300"/>
                <w:sz w:val="20"/>
              </w:rPr>
              <w:t xml:space="preserve"> </w:t>
            </w:r>
          </w:p>
          <w:p w:rsidR="00FB1AC0" w:rsidRDefault="00BE01A4">
            <w:r>
              <w:rPr>
                <w:rFonts w:ascii="Arial" w:eastAsia="Arial" w:hAnsi="Arial" w:cs="Arial"/>
                <w:color w:val="003300"/>
                <w:sz w:val="20"/>
              </w:rPr>
              <w:t xml:space="preserve">Accessed April 30, 2018 </w:t>
            </w:r>
          </w:p>
        </w:tc>
        <w:tc>
          <w:tcPr>
            <w:tcW w:w="5179" w:type="dxa"/>
            <w:tcBorders>
              <w:top w:val="single" w:sz="6" w:space="0" w:color="000000"/>
              <w:left w:val="single" w:sz="6" w:space="0" w:color="000000"/>
              <w:bottom w:val="single" w:sz="6" w:space="0" w:color="000000"/>
              <w:right w:val="single" w:sz="6" w:space="0" w:color="000000"/>
            </w:tcBorders>
          </w:tcPr>
          <w:p w:rsidR="00FB1AC0" w:rsidRDefault="00BE01A4">
            <w:pPr>
              <w:spacing w:line="282" w:lineRule="auto"/>
            </w:pPr>
            <w:r>
              <w:rPr>
                <w:rFonts w:ascii="Arial" w:eastAsia="Arial" w:hAnsi="Arial" w:cs="Arial"/>
                <w:color w:val="003300"/>
                <w:sz w:val="20"/>
              </w:rPr>
              <w:t xml:space="preserve">-Credit card fraud occurs when one’s credit card number or PIN number is stolen and used to make purchase </w:t>
            </w:r>
          </w:p>
          <w:p w:rsidR="00FB1AC0" w:rsidRDefault="00BE01A4">
            <w:pPr>
              <w:numPr>
                <w:ilvl w:val="0"/>
                <w:numId w:val="1"/>
              </w:numPr>
              <w:spacing w:line="319" w:lineRule="auto"/>
            </w:pPr>
            <w:r>
              <w:rPr>
                <w:rFonts w:ascii="Arial" w:eastAsia="Arial" w:hAnsi="Arial" w:cs="Arial"/>
                <w:color w:val="003300"/>
                <w:sz w:val="20"/>
              </w:rPr>
              <w:t xml:space="preserve">This can be done by stealing credit card information from one’s mailbox, sending fraudulent emails asking for one’s credit card information (known as </w:t>
            </w:r>
            <w:r>
              <w:rPr>
                <w:rFonts w:ascii="Arial" w:eastAsia="Arial" w:hAnsi="Arial" w:cs="Arial"/>
                <w:b/>
                <w:color w:val="003300"/>
                <w:sz w:val="20"/>
              </w:rPr>
              <w:t>phishing</w:t>
            </w:r>
            <w:r>
              <w:rPr>
                <w:color w:val="003300"/>
                <w:sz w:val="20"/>
              </w:rPr>
              <w:t>​</w:t>
            </w:r>
            <w:r>
              <w:rPr>
                <w:color w:val="003300"/>
                <w:sz w:val="20"/>
              </w:rPr>
              <w:tab/>
            </w:r>
            <w:r>
              <w:rPr>
                <w:sz w:val="20"/>
              </w:rPr>
              <w:t>​</w:t>
            </w:r>
            <w:r>
              <w:rPr>
                <w:rFonts w:ascii="Arial" w:eastAsia="Arial" w:hAnsi="Arial" w:cs="Arial"/>
                <w:color w:val="003300"/>
                <w:sz w:val="20"/>
              </w:rPr>
              <w:t xml:space="preserve">), or from small devices implanted into gas pumps and card readers </w:t>
            </w:r>
          </w:p>
          <w:p w:rsidR="00FB1AC0" w:rsidRDefault="00BE01A4">
            <w:pPr>
              <w:spacing w:line="282" w:lineRule="auto"/>
            </w:pPr>
            <w:r>
              <w:rPr>
                <w:rFonts w:ascii="Arial" w:eastAsia="Arial" w:hAnsi="Arial" w:cs="Arial"/>
                <w:color w:val="003300"/>
                <w:sz w:val="20"/>
              </w:rPr>
              <w:t xml:space="preserve">-Chip technology is making credit card fraud more difficult, as the microchips contained in newer credit cards is hard to replicate </w:t>
            </w:r>
          </w:p>
          <w:p w:rsidR="00FB1AC0" w:rsidRDefault="00BE01A4">
            <w:pPr>
              <w:numPr>
                <w:ilvl w:val="0"/>
                <w:numId w:val="1"/>
              </w:numPr>
              <w:spacing w:line="282" w:lineRule="auto"/>
            </w:pPr>
            <w:r>
              <w:rPr>
                <w:rFonts w:ascii="Arial" w:eastAsia="Arial" w:hAnsi="Arial" w:cs="Arial"/>
                <w:color w:val="003300"/>
                <w:sz w:val="20"/>
              </w:rPr>
              <w:t xml:space="preserve">To avoid credit card fraud, people must not share their card or PIN number with others, cover the keypad when entering their PIN number, keep credit card statements in a safe place, and only make purchases from trusted sites </w:t>
            </w:r>
          </w:p>
          <w:p w:rsidR="00FB1AC0" w:rsidRDefault="00BE01A4">
            <w:pPr>
              <w:numPr>
                <w:ilvl w:val="0"/>
                <w:numId w:val="1"/>
              </w:numPr>
            </w:pPr>
            <w:r>
              <w:rPr>
                <w:rFonts w:ascii="Arial" w:eastAsia="Arial" w:hAnsi="Arial" w:cs="Arial"/>
                <w:color w:val="003300"/>
                <w:sz w:val="20"/>
              </w:rPr>
              <w:t xml:space="preserve">Anyone who is suspicious that they may be a victim of credit card fraud should contact their bank and the police immediately.  As well they should also contact other service providers (i.e. cable and phone companies) to ensure that other accounts have not been compromised </w:t>
            </w:r>
          </w:p>
        </w:tc>
      </w:tr>
    </w:tbl>
    <w:p w:rsidR="00FB1AC0" w:rsidRDefault="00BE01A4">
      <w:pPr>
        <w:spacing w:after="237"/>
        <w:jc w:val="both"/>
      </w:pPr>
      <w:r>
        <w:rPr>
          <w:rFonts w:ascii="Arial" w:eastAsia="Arial" w:hAnsi="Arial" w:cs="Arial"/>
        </w:rPr>
        <w:t xml:space="preserve">  </w:t>
      </w:r>
    </w:p>
    <w:p w:rsidR="00FB1AC0" w:rsidRDefault="00BE01A4">
      <w:pPr>
        <w:spacing w:after="0"/>
        <w:jc w:val="both"/>
      </w:pPr>
      <w:r>
        <w:rPr>
          <w:rFonts w:ascii="Arial" w:eastAsia="Arial" w:hAnsi="Arial" w:cs="Arial"/>
        </w:rPr>
        <w:t xml:space="preserve"> </w:t>
      </w:r>
    </w:p>
    <w:sectPr w:rsidR="00FB1AC0">
      <w:pgSz w:w="11920" w:h="16860"/>
      <w:pgMar w:top="1449" w:right="1801" w:bottom="2110"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3EF1"/>
    <w:multiLevelType w:val="hybridMultilevel"/>
    <w:tmpl w:val="AF608AAC"/>
    <w:lvl w:ilvl="0" w:tplc="902A0C52">
      <w:start w:val="1"/>
      <w:numFmt w:val="bullet"/>
      <w:lvlText w:val="-"/>
      <w:lvlJc w:val="left"/>
      <w:pPr>
        <w:ind w:left="0"/>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1" w:tplc="204AFF32">
      <w:start w:val="1"/>
      <w:numFmt w:val="bullet"/>
      <w:lvlText w:val="o"/>
      <w:lvlJc w:val="left"/>
      <w:pPr>
        <w:ind w:left="117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2" w:tplc="EFDA44EC">
      <w:start w:val="1"/>
      <w:numFmt w:val="bullet"/>
      <w:lvlText w:val="▪"/>
      <w:lvlJc w:val="left"/>
      <w:pPr>
        <w:ind w:left="189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3" w:tplc="739A37A8">
      <w:start w:val="1"/>
      <w:numFmt w:val="bullet"/>
      <w:lvlText w:val="•"/>
      <w:lvlJc w:val="left"/>
      <w:pPr>
        <w:ind w:left="261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4" w:tplc="954044F8">
      <w:start w:val="1"/>
      <w:numFmt w:val="bullet"/>
      <w:lvlText w:val="o"/>
      <w:lvlJc w:val="left"/>
      <w:pPr>
        <w:ind w:left="333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5" w:tplc="3BE2CEC2">
      <w:start w:val="1"/>
      <w:numFmt w:val="bullet"/>
      <w:lvlText w:val="▪"/>
      <w:lvlJc w:val="left"/>
      <w:pPr>
        <w:ind w:left="405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6" w:tplc="86AC0DF8">
      <w:start w:val="1"/>
      <w:numFmt w:val="bullet"/>
      <w:lvlText w:val="•"/>
      <w:lvlJc w:val="left"/>
      <w:pPr>
        <w:ind w:left="477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7" w:tplc="3CEA29F6">
      <w:start w:val="1"/>
      <w:numFmt w:val="bullet"/>
      <w:lvlText w:val="o"/>
      <w:lvlJc w:val="left"/>
      <w:pPr>
        <w:ind w:left="549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lvl w:ilvl="8" w:tplc="398AAB78">
      <w:start w:val="1"/>
      <w:numFmt w:val="bullet"/>
      <w:lvlText w:val="▪"/>
      <w:lvlJc w:val="left"/>
      <w:pPr>
        <w:ind w:left="6218"/>
      </w:pPr>
      <w:rPr>
        <w:rFonts w:ascii="Arial" w:eastAsia="Arial" w:hAnsi="Arial" w:cs="Arial"/>
        <w:b w:val="0"/>
        <w:i w:val="0"/>
        <w:strike w:val="0"/>
        <w:dstrike w:val="0"/>
        <w:color w:val="0033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C0"/>
    <w:rsid w:val="0072104F"/>
    <w:rsid w:val="00BE01A4"/>
    <w:rsid w:val="00FB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5F8DE-F963-4EFC-952C-54A8709E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fcac-acfc.gc.ca/eng/consumers/fraud/creditfraud/" TargetMode="External"/><Relationship Id="rId3" Type="http://schemas.openxmlformats.org/officeDocument/2006/relationships/settings" Target="settings.xml"/><Relationship Id="rId7" Type="http://schemas.openxmlformats.org/officeDocument/2006/relationships/hyperlink" Target="http://www.fcac-acfc.gc.ca/eng/consumers/fraud/creditfra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ac-acfc.gc.ca/eng/consumers/fraud/creditfraud/" TargetMode="External"/><Relationship Id="rId5" Type="http://schemas.openxmlformats.org/officeDocument/2006/relationships/hyperlink" Target="http://www.fcac-acfc.gc.ca/eng/consumers/fraud/creditfrau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cp:lastModifiedBy>BENEDICT001</cp:lastModifiedBy>
  <cp:revision>2</cp:revision>
  <dcterms:created xsi:type="dcterms:W3CDTF">2021-03-08T15:28:00Z</dcterms:created>
  <dcterms:modified xsi:type="dcterms:W3CDTF">2021-03-08T15:28:00Z</dcterms:modified>
</cp:coreProperties>
</file>